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ascii="Arial" w:hAnsi="Arial" w:cs="Arial"/>
          <w:b/>
          <w:bCs/>
          <w:color w:val="000000"/>
          <w:kern w:val="36"/>
          <w:sz w:val="30"/>
          <w:szCs w:val="30"/>
        </w:rPr>
      </w:pPr>
      <w:r>
        <w:rPr>
          <w:rFonts w:hint="eastAsia" w:ascii="Arial" w:hAnsi="Arial" w:cs="Arial"/>
          <w:b/>
          <w:bCs/>
          <w:color w:val="000000"/>
          <w:kern w:val="36"/>
          <w:sz w:val="30"/>
          <w:szCs w:val="30"/>
        </w:rPr>
        <w:t>化工</w:t>
      </w:r>
      <w:r>
        <w:rPr>
          <w:rFonts w:ascii="Arial" w:hAnsi="Arial" w:cs="Arial"/>
          <w:b/>
          <w:bCs/>
          <w:color w:val="000000"/>
          <w:kern w:val="36"/>
          <w:sz w:val="30"/>
          <w:szCs w:val="30"/>
        </w:rPr>
        <w:t>学院20</w:t>
      </w:r>
      <w:r>
        <w:rPr>
          <w:rFonts w:hint="eastAsia" w:ascii="Arial" w:hAnsi="Arial" w:cs="Arial"/>
          <w:b/>
          <w:bCs/>
          <w:color w:val="000000"/>
          <w:kern w:val="36"/>
          <w:sz w:val="30"/>
          <w:szCs w:val="30"/>
          <w:lang w:val="en-US" w:eastAsia="zh-CN"/>
        </w:rPr>
        <w:t>20</w:t>
      </w:r>
      <w:r>
        <w:rPr>
          <w:rFonts w:ascii="Arial" w:hAnsi="Arial" w:cs="Arial"/>
          <w:b/>
          <w:bCs/>
          <w:color w:val="000000"/>
          <w:kern w:val="36"/>
          <w:sz w:val="30"/>
          <w:szCs w:val="30"/>
        </w:rPr>
        <w:t>年本硕博连读、本科直博及“海外联培计划”优秀学生复试</w:t>
      </w:r>
      <w:r>
        <w:rPr>
          <w:rFonts w:hint="eastAsia" w:ascii="Arial" w:hAnsi="Arial" w:cs="Arial"/>
          <w:b/>
          <w:bCs/>
          <w:color w:val="000000"/>
          <w:kern w:val="36"/>
          <w:sz w:val="30"/>
          <w:szCs w:val="30"/>
        </w:rPr>
        <w:t>方案</w:t>
      </w:r>
    </w:p>
    <w:p>
      <w:pPr>
        <w:pStyle w:val="6"/>
        <w:shd w:val="clear" w:color="auto" w:fill="FEFEFE"/>
        <w:spacing w:beforeLines="100" w:beforeAutospacing="0" w:after="0" w:afterAutospacing="0" w:line="460" w:lineRule="exact"/>
        <w:ind w:firstLine="560" w:firstLineChars="200"/>
        <w:rPr>
          <w:rFonts w:ascii="Times New Roman" w:hAnsi="Times New Roman"/>
          <w:kern w:val="2"/>
          <w:sz w:val="28"/>
        </w:rPr>
      </w:pPr>
      <w:r>
        <w:rPr>
          <w:rFonts w:hint="eastAsia" w:ascii="Times New Roman" w:hAnsi="Times New Roman"/>
          <w:kern w:val="2"/>
          <w:sz w:val="28"/>
        </w:rPr>
        <w:t>复试是研究生录取的一个重要环节，为了保证研究生的入学质量，全面考查考生的科研能力、实际工作能力、政治思想、道德品质等，我院</w:t>
      </w:r>
      <w:r>
        <w:rPr>
          <w:rFonts w:ascii="Times New Roman" w:hAnsi="Times New Roman"/>
          <w:kern w:val="2"/>
          <w:sz w:val="28"/>
        </w:rPr>
        <w:t>根据校教务部、研究生院“关于做好选拔20</w:t>
      </w:r>
      <w:r>
        <w:rPr>
          <w:rFonts w:hint="eastAsia" w:ascii="Times New Roman" w:hAnsi="Times New Roman"/>
          <w:kern w:val="2"/>
          <w:sz w:val="28"/>
          <w:lang w:val="en-US" w:eastAsia="zh-CN"/>
        </w:rPr>
        <w:t>20</w:t>
      </w:r>
      <w:r>
        <w:rPr>
          <w:rFonts w:ascii="Times New Roman" w:hAnsi="Times New Roman"/>
          <w:kern w:val="2"/>
          <w:sz w:val="28"/>
        </w:rPr>
        <w:t>年本硕博连读、本科直博及”双一流研究生海外联合培养计划（试行）“优秀学生工作的通知”，结合我</w:t>
      </w:r>
      <w:r>
        <w:rPr>
          <w:rFonts w:hint="eastAsia" w:ascii="Times New Roman" w:hAnsi="Times New Roman"/>
          <w:kern w:val="2"/>
          <w:sz w:val="28"/>
        </w:rPr>
        <w:t>院</w:t>
      </w:r>
      <w:r>
        <w:rPr>
          <w:rFonts w:ascii="Times New Roman" w:hAnsi="Times New Roman"/>
          <w:kern w:val="2"/>
          <w:sz w:val="28"/>
        </w:rPr>
        <w:t>实际情况，制定</w:t>
      </w:r>
      <w:r>
        <w:rPr>
          <w:rFonts w:hint="eastAsia" w:ascii="Times New Roman" w:hAnsi="Times New Roman"/>
          <w:kern w:val="2"/>
          <w:sz w:val="28"/>
        </w:rPr>
        <w:t>以下</w:t>
      </w:r>
      <w:r>
        <w:rPr>
          <w:rFonts w:ascii="Times New Roman" w:hAnsi="Times New Roman"/>
          <w:kern w:val="2"/>
          <w:sz w:val="28"/>
        </w:rPr>
        <w:t>研究生复试方案。</w:t>
      </w:r>
    </w:p>
    <w:p>
      <w:pPr>
        <w:spacing w:beforeLines="20"/>
        <w:rPr>
          <w:b/>
          <w:bCs/>
          <w:sz w:val="28"/>
        </w:rPr>
      </w:pPr>
      <w:r>
        <w:rPr>
          <w:b/>
          <w:bCs/>
          <w:sz w:val="28"/>
        </w:rPr>
        <w:t xml:space="preserve">一、 指导思想 </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ascii="Times New Roman" w:hAnsi="Times New Roman"/>
          <w:kern w:val="2"/>
          <w:sz w:val="28"/>
        </w:rPr>
        <w:t>坚持</w:t>
      </w:r>
      <w:r>
        <w:rPr>
          <w:rFonts w:hint="eastAsia" w:ascii="Times New Roman" w:hAnsi="Times New Roman"/>
          <w:kern w:val="2"/>
          <w:sz w:val="28"/>
        </w:rPr>
        <w:t>“</w:t>
      </w:r>
      <w:r>
        <w:rPr>
          <w:rFonts w:ascii="Times New Roman" w:hAnsi="Times New Roman"/>
          <w:kern w:val="2"/>
          <w:sz w:val="28"/>
        </w:rPr>
        <w:t>公平、公正、公开</w:t>
      </w:r>
      <w:r>
        <w:rPr>
          <w:rFonts w:hint="eastAsia" w:ascii="Times New Roman" w:hAnsi="Times New Roman"/>
          <w:kern w:val="2"/>
          <w:sz w:val="28"/>
        </w:rPr>
        <w:t>”</w:t>
      </w:r>
      <w:r>
        <w:rPr>
          <w:rFonts w:ascii="Times New Roman" w:hAnsi="Times New Roman"/>
          <w:kern w:val="2"/>
          <w:sz w:val="28"/>
        </w:rPr>
        <w:t>和</w:t>
      </w:r>
      <w:r>
        <w:rPr>
          <w:rFonts w:hint="eastAsia" w:ascii="Times New Roman" w:hAnsi="Times New Roman"/>
          <w:kern w:val="2"/>
          <w:sz w:val="28"/>
        </w:rPr>
        <w:t>“</w:t>
      </w:r>
      <w:r>
        <w:rPr>
          <w:rFonts w:ascii="Times New Roman" w:hAnsi="Times New Roman"/>
          <w:kern w:val="2"/>
          <w:sz w:val="28"/>
        </w:rPr>
        <w:t>科学选拔</w:t>
      </w:r>
      <w:r>
        <w:rPr>
          <w:rFonts w:hint="eastAsia" w:ascii="Times New Roman" w:hAnsi="Times New Roman"/>
          <w:kern w:val="2"/>
          <w:sz w:val="28"/>
        </w:rPr>
        <w:t>”</w:t>
      </w:r>
      <w:r>
        <w:rPr>
          <w:rFonts w:ascii="Times New Roman" w:hAnsi="Times New Roman"/>
          <w:kern w:val="2"/>
          <w:sz w:val="28"/>
        </w:rPr>
        <w:t>的原则</w:t>
      </w:r>
      <w:r>
        <w:rPr>
          <w:rFonts w:hint="eastAsia" w:ascii="Times New Roman" w:hAnsi="Times New Roman"/>
          <w:kern w:val="2"/>
          <w:sz w:val="28"/>
        </w:rPr>
        <w:t>，</w:t>
      </w:r>
      <w:r>
        <w:rPr>
          <w:rFonts w:ascii="Times New Roman" w:hAnsi="Times New Roman"/>
          <w:kern w:val="2"/>
          <w:sz w:val="28"/>
        </w:rPr>
        <w:t>德</w:t>
      </w:r>
      <w:r>
        <w:rPr>
          <w:rFonts w:hint="eastAsia" w:ascii="Times New Roman" w:hAnsi="Times New Roman"/>
          <w:kern w:val="2"/>
          <w:sz w:val="28"/>
        </w:rPr>
        <w:t>、</w:t>
      </w:r>
      <w:r>
        <w:rPr>
          <w:rFonts w:ascii="Times New Roman" w:hAnsi="Times New Roman"/>
          <w:kern w:val="2"/>
          <w:sz w:val="28"/>
        </w:rPr>
        <w:t>智</w:t>
      </w:r>
      <w:r>
        <w:rPr>
          <w:rFonts w:hint="eastAsia" w:ascii="Times New Roman" w:hAnsi="Times New Roman"/>
          <w:kern w:val="2"/>
          <w:sz w:val="28"/>
        </w:rPr>
        <w:t>、</w:t>
      </w:r>
      <w:r>
        <w:rPr>
          <w:rFonts w:ascii="Times New Roman" w:hAnsi="Times New Roman"/>
          <w:kern w:val="2"/>
          <w:sz w:val="28"/>
        </w:rPr>
        <w:t>体全面衡量，综合考虑考生思想政治、业务素质及身体健康状况</w:t>
      </w:r>
      <w:r>
        <w:rPr>
          <w:rFonts w:hint="eastAsia" w:ascii="Times New Roman" w:hAnsi="Times New Roman"/>
          <w:kern w:val="2"/>
          <w:sz w:val="28"/>
        </w:rPr>
        <w:t>，</w:t>
      </w:r>
      <w:r>
        <w:rPr>
          <w:rFonts w:ascii="Times New Roman" w:hAnsi="Times New Roman"/>
          <w:kern w:val="2"/>
          <w:sz w:val="28"/>
        </w:rPr>
        <w:t>择优选拔，确保质量，宁缺毋滥。</w:t>
      </w:r>
    </w:p>
    <w:p>
      <w:pPr>
        <w:spacing w:beforeLines="20"/>
        <w:rPr>
          <w:b/>
          <w:bCs/>
          <w:sz w:val="28"/>
        </w:rPr>
      </w:pPr>
      <w:r>
        <w:rPr>
          <w:rFonts w:hint="eastAsia"/>
          <w:b/>
          <w:bCs/>
          <w:sz w:val="28"/>
        </w:rPr>
        <w:t xml:space="preserve">二、复试组织 </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hint="eastAsia" w:ascii="Times New Roman" w:hAnsi="Times New Roman"/>
          <w:kern w:val="2"/>
          <w:sz w:val="28"/>
        </w:rPr>
        <w:t>1、学院成立招生工作领导小组：</w:t>
      </w:r>
    </w:p>
    <w:p>
      <w:pPr>
        <w:widowControl/>
        <w:shd w:val="clear" w:color="auto" w:fill="FFFFFF"/>
        <w:spacing w:line="360" w:lineRule="auto"/>
        <w:ind w:firstLine="838" w:firstLineChars="298"/>
        <w:jc w:val="left"/>
        <w:rPr>
          <w:rFonts w:ascii="宋体" w:hAnsi="宋体" w:cs="宋体"/>
          <w:kern w:val="0"/>
          <w:sz w:val="28"/>
          <w:szCs w:val="28"/>
        </w:rPr>
      </w:pPr>
      <w:r>
        <w:rPr>
          <w:rFonts w:hint="eastAsia" w:cs="宋体"/>
          <w:b/>
          <w:kern w:val="0"/>
          <w:sz w:val="28"/>
          <w:szCs w:val="28"/>
        </w:rPr>
        <w:t>组</w:t>
      </w:r>
      <w:r>
        <w:rPr>
          <w:b/>
          <w:kern w:val="0"/>
          <w:sz w:val="28"/>
          <w:szCs w:val="28"/>
        </w:rPr>
        <w:t xml:space="preserve">  </w:t>
      </w:r>
      <w:r>
        <w:rPr>
          <w:rFonts w:hint="eastAsia" w:cs="宋体"/>
          <w:b/>
          <w:kern w:val="0"/>
          <w:sz w:val="28"/>
          <w:szCs w:val="28"/>
        </w:rPr>
        <w:t>长：</w:t>
      </w:r>
      <w:r>
        <w:rPr>
          <w:rFonts w:hint="eastAsia" w:cs="宋体"/>
          <w:sz w:val="28"/>
          <w:szCs w:val="28"/>
        </w:rPr>
        <w:t>谢广元、吴国光</w:t>
      </w:r>
    </w:p>
    <w:p>
      <w:pPr>
        <w:widowControl/>
        <w:shd w:val="clear" w:color="auto" w:fill="FFFFFF"/>
        <w:spacing w:line="360" w:lineRule="auto"/>
        <w:ind w:firstLine="838" w:firstLineChars="298"/>
        <w:jc w:val="left"/>
        <w:rPr>
          <w:rFonts w:ascii="宋体" w:hAnsi="宋体" w:cs="宋体"/>
          <w:kern w:val="0"/>
          <w:sz w:val="28"/>
          <w:szCs w:val="28"/>
        </w:rPr>
      </w:pPr>
      <w:r>
        <w:rPr>
          <w:rFonts w:hint="eastAsia" w:cs="宋体"/>
          <w:b/>
          <w:kern w:val="0"/>
          <w:sz w:val="28"/>
          <w:szCs w:val="28"/>
        </w:rPr>
        <w:t>副组长：</w:t>
      </w:r>
      <w:r>
        <w:rPr>
          <w:rFonts w:hint="eastAsia" w:cs="宋体"/>
          <w:sz w:val="28"/>
          <w:szCs w:val="28"/>
        </w:rPr>
        <w:t>武建军、周长春</w:t>
      </w:r>
    </w:p>
    <w:p>
      <w:pPr>
        <w:widowControl/>
        <w:shd w:val="clear" w:color="auto" w:fill="FFFFFF"/>
        <w:spacing w:line="360" w:lineRule="auto"/>
        <w:ind w:left="1941" w:leftChars="398" w:hanging="1105" w:hangingChars="393"/>
        <w:jc w:val="left"/>
        <w:rPr>
          <w:rFonts w:cs="宋体"/>
          <w:sz w:val="28"/>
          <w:szCs w:val="28"/>
        </w:rPr>
      </w:pPr>
      <w:r>
        <w:rPr>
          <w:rFonts w:hint="eastAsia" w:cs="宋体"/>
          <w:b/>
          <w:kern w:val="0"/>
          <w:sz w:val="28"/>
          <w:szCs w:val="28"/>
        </w:rPr>
        <w:t>成</w:t>
      </w:r>
      <w:r>
        <w:rPr>
          <w:b/>
          <w:kern w:val="0"/>
          <w:sz w:val="28"/>
          <w:szCs w:val="28"/>
        </w:rPr>
        <w:t xml:space="preserve">  </w:t>
      </w:r>
      <w:r>
        <w:rPr>
          <w:rFonts w:hint="eastAsia" w:cs="宋体"/>
          <w:b/>
          <w:kern w:val="0"/>
          <w:sz w:val="28"/>
          <w:szCs w:val="28"/>
        </w:rPr>
        <w:t>员：</w:t>
      </w:r>
      <w:r>
        <w:rPr>
          <w:rFonts w:hint="eastAsia" w:cs="宋体"/>
          <w:sz w:val="28"/>
          <w:szCs w:val="28"/>
          <w:lang w:eastAsia="zh-CN"/>
        </w:rPr>
        <w:t>陶有俊</w:t>
      </w:r>
      <w:r>
        <w:rPr>
          <w:rFonts w:hint="eastAsia" w:cs="宋体"/>
          <w:sz w:val="28"/>
          <w:szCs w:val="28"/>
        </w:rPr>
        <w:t>、张双全</w:t>
      </w:r>
      <w:r>
        <w:rPr>
          <w:rFonts w:hint="eastAsia" w:cs="宋体"/>
          <w:sz w:val="28"/>
          <w:szCs w:val="28"/>
          <w:lang w:eastAsia="zh-CN"/>
        </w:rPr>
        <w:t>、</w:t>
      </w:r>
      <w:r>
        <w:rPr>
          <w:rFonts w:hint="eastAsia" w:cs="宋体"/>
          <w:sz w:val="28"/>
          <w:szCs w:val="28"/>
        </w:rPr>
        <w:t>高庆宇、彭耀丽、孟献梁、蒋荣立、</w:t>
      </w:r>
      <w:r>
        <w:rPr>
          <w:rFonts w:hint="eastAsia" w:cs="宋体"/>
          <w:sz w:val="28"/>
          <w:szCs w:val="28"/>
          <w:lang w:eastAsia="zh-CN"/>
        </w:rPr>
        <w:t>肖雷</w:t>
      </w:r>
      <w:r>
        <w:rPr>
          <w:rFonts w:hint="eastAsia" w:cs="宋体"/>
          <w:sz w:val="28"/>
          <w:szCs w:val="28"/>
        </w:rPr>
        <w:t>、李海生</w:t>
      </w:r>
      <w:r>
        <w:rPr>
          <w:rFonts w:cs="宋体"/>
          <w:sz w:val="28"/>
          <w:szCs w:val="28"/>
        </w:rPr>
        <w:t xml:space="preserve"> </w:t>
      </w:r>
    </w:p>
    <w:p>
      <w:pPr>
        <w:widowControl/>
        <w:shd w:val="clear" w:color="auto" w:fill="FFFFFF"/>
        <w:spacing w:line="360" w:lineRule="auto"/>
        <w:ind w:firstLine="838" w:firstLineChars="298"/>
        <w:jc w:val="left"/>
        <w:rPr>
          <w:rFonts w:hint="eastAsia" w:ascii="宋体" w:hAnsi="宋体" w:eastAsia="宋体" w:cs="宋体"/>
          <w:kern w:val="0"/>
          <w:sz w:val="28"/>
          <w:szCs w:val="28"/>
          <w:lang w:eastAsia="zh-CN"/>
        </w:rPr>
      </w:pPr>
      <w:r>
        <w:rPr>
          <w:rFonts w:hint="eastAsia" w:cs="宋体"/>
          <w:b/>
          <w:kern w:val="0"/>
          <w:sz w:val="28"/>
          <w:szCs w:val="28"/>
        </w:rPr>
        <w:t>秘  书：</w:t>
      </w:r>
      <w:r>
        <w:rPr>
          <w:rFonts w:hint="eastAsia" w:cs="宋体"/>
          <w:sz w:val="28"/>
          <w:szCs w:val="28"/>
        </w:rPr>
        <w:t>万</w:t>
      </w:r>
      <w:r>
        <w:rPr>
          <w:rFonts w:cs="宋体"/>
          <w:sz w:val="28"/>
          <w:szCs w:val="28"/>
        </w:rPr>
        <w:t xml:space="preserve">  </w:t>
      </w:r>
      <w:r>
        <w:rPr>
          <w:rFonts w:hint="eastAsia" w:cs="宋体"/>
          <w:sz w:val="28"/>
          <w:szCs w:val="28"/>
        </w:rPr>
        <w:t>翼、丁可可、张茂银、朱清、</w:t>
      </w:r>
      <w:r>
        <w:rPr>
          <w:rFonts w:hint="eastAsia" w:cs="宋体"/>
          <w:sz w:val="28"/>
          <w:szCs w:val="28"/>
          <w:lang w:eastAsia="zh-CN"/>
        </w:rPr>
        <w:t>牛伟鹏</w:t>
      </w:r>
      <w:bookmarkStart w:id="0" w:name="_GoBack"/>
      <w:bookmarkEnd w:id="0"/>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hint="eastAsia" w:ascii="Times New Roman" w:hAnsi="Times New Roman"/>
          <w:kern w:val="2"/>
          <w:sz w:val="28"/>
        </w:rPr>
        <w:t>2、我院复试工作按一级学科进行，每个学科至少由5位办事公正、教学经验丰富、外语水平较高、无亲属参加复试的教师组成复试专家小组，每个小组设组长一人。复试小组负责确定考生面试和实践能力考核的具体内容和评分办法，并具体组织实施。</w:t>
      </w:r>
    </w:p>
    <w:p>
      <w:pPr>
        <w:spacing w:beforeLines="20"/>
        <w:rPr>
          <w:b/>
          <w:bCs/>
          <w:sz w:val="28"/>
        </w:rPr>
      </w:pPr>
      <w:r>
        <w:rPr>
          <w:rFonts w:hint="eastAsia"/>
          <w:b/>
          <w:bCs/>
          <w:sz w:val="28"/>
        </w:rPr>
        <w:t>三、复试形式、内容及要求</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hint="eastAsia" w:ascii="Times New Roman" w:hAnsi="Times New Roman"/>
          <w:kern w:val="2"/>
          <w:sz w:val="28"/>
        </w:rPr>
        <w:t>复试考查工作由各专业复试专家小组负责实施。复试采取面试形式，</w:t>
      </w:r>
    </w:p>
    <w:p>
      <w:pPr>
        <w:pStyle w:val="6"/>
        <w:shd w:val="clear" w:color="auto" w:fill="FEFEFE"/>
        <w:spacing w:before="0" w:beforeAutospacing="0" w:after="0" w:afterAutospacing="0" w:line="460" w:lineRule="exact"/>
        <w:rPr>
          <w:rFonts w:ascii="Times New Roman" w:hAnsi="Times New Roman"/>
          <w:kern w:val="2"/>
          <w:sz w:val="28"/>
        </w:rPr>
      </w:pPr>
      <w:r>
        <w:rPr>
          <w:rFonts w:hint="eastAsia" w:ascii="Times New Roman" w:hAnsi="Times New Roman"/>
          <w:kern w:val="2"/>
          <w:sz w:val="28"/>
        </w:rPr>
        <w:t>复试总成绩为100分。内容包括外语考查（包括英语听力、口语、专业英语翻译）及综合能力考核，其中外语考查40分，综合能力考核60分。外语考查首先进行20分钟的专业英语的笔译</w:t>
      </w:r>
      <w:r>
        <w:rPr>
          <w:rFonts w:hint="eastAsia"/>
        </w:rPr>
        <w:t>（可带纸质字典，不可用电子词典和手机等通讯工具）</w:t>
      </w:r>
      <w:r>
        <w:rPr>
          <w:rFonts w:hint="eastAsia" w:ascii="Times New Roman" w:hAnsi="Times New Roman"/>
          <w:kern w:val="2"/>
          <w:sz w:val="28"/>
        </w:rPr>
        <w:t>，然后分别进行英语听力和口语考查及综合能力的考查。综合能力考核的时间不少于20分钟，</w:t>
      </w:r>
      <w:r>
        <w:rPr>
          <w:rFonts w:ascii="Times New Roman" w:hAnsi="Times New Roman"/>
          <w:kern w:val="2"/>
          <w:sz w:val="28"/>
        </w:rPr>
        <w:t>主要考察学生的专业素质和能力</w:t>
      </w:r>
      <w:r>
        <w:rPr>
          <w:rFonts w:hint="eastAsia" w:ascii="Times New Roman" w:hAnsi="Times New Roman"/>
          <w:kern w:val="2"/>
          <w:sz w:val="28"/>
        </w:rPr>
        <w:t>，</w:t>
      </w:r>
      <w:r>
        <w:rPr>
          <w:rFonts w:ascii="Times New Roman" w:hAnsi="Times New Roman"/>
          <w:kern w:val="2"/>
          <w:sz w:val="28"/>
        </w:rPr>
        <w:t>考核学生利用所学</w:t>
      </w:r>
      <w:r>
        <w:rPr>
          <w:rFonts w:hint="eastAsia" w:ascii="Times New Roman" w:hAnsi="Times New Roman"/>
          <w:kern w:val="2"/>
          <w:sz w:val="28"/>
        </w:rPr>
        <w:t>知识</w:t>
      </w:r>
      <w:r>
        <w:rPr>
          <w:rFonts w:ascii="Times New Roman" w:hAnsi="Times New Roman"/>
          <w:kern w:val="2"/>
          <w:sz w:val="28"/>
        </w:rPr>
        <w:t>、分析和解决问题的能力</w:t>
      </w:r>
      <w:r>
        <w:rPr>
          <w:rFonts w:hint="eastAsia" w:ascii="Times New Roman" w:hAnsi="Times New Roman"/>
          <w:kern w:val="2"/>
          <w:sz w:val="28"/>
        </w:rPr>
        <w:t>，</w:t>
      </w:r>
      <w:r>
        <w:rPr>
          <w:rFonts w:ascii="Times New Roman" w:hAnsi="Times New Roman"/>
          <w:kern w:val="2"/>
          <w:sz w:val="28"/>
        </w:rPr>
        <w:t>对本学科发展动态的了解以及在本专业领域发展的潜力</w:t>
      </w:r>
      <w:r>
        <w:rPr>
          <w:rFonts w:hint="eastAsia" w:ascii="Times New Roman" w:hAnsi="Times New Roman"/>
          <w:kern w:val="2"/>
          <w:sz w:val="28"/>
        </w:rPr>
        <w:t>。同时</w:t>
      </w:r>
      <w:r>
        <w:rPr>
          <w:rFonts w:ascii="Times New Roman" w:hAnsi="Times New Roman"/>
          <w:kern w:val="2"/>
          <w:sz w:val="28"/>
        </w:rPr>
        <w:t>考察学生的思想政治素质和道德品质以及了解学生的事业心、责任感和</w:t>
      </w:r>
      <w:r>
        <w:rPr>
          <w:rFonts w:hint="eastAsia" w:ascii="Times New Roman" w:hAnsi="Times New Roman"/>
          <w:kern w:val="2"/>
          <w:sz w:val="28"/>
        </w:rPr>
        <w:t>在</w:t>
      </w:r>
      <w:r>
        <w:rPr>
          <w:rFonts w:ascii="Times New Roman" w:hAnsi="Times New Roman"/>
          <w:kern w:val="2"/>
          <w:sz w:val="28"/>
        </w:rPr>
        <w:t>社会实践等方面的情况。不指定参考书和</w:t>
      </w:r>
      <w:r>
        <w:rPr>
          <w:rFonts w:hint="eastAsia" w:ascii="Times New Roman" w:hAnsi="Times New Roman"/>
          <w:kern w:val="2"/>
          <w:sz w:val="28"/>
        </w:rPr>
        <w:t>复习</w:t>
      </w:r>
      <w:r>
        <w:rPr>
          <w:rFonts w:ascii="Times New Roman" w:hAnsi="Times New Roman"/>
          <w:kern w:val="2"/>
          <w:sz w:val="28"/>
        </w:rPr>
        <w:t>资料。</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hint="eastAsia"/>
          <w:sz w:val="28"/>
        </w:rPr>
        <w:t>每位学生的复试成绩，由复试专家成员独立打分后取平均分确定。复试专家成员应在每位学生面试结束后现场给出评分，专家评分应根据学生面试的实际情况给出一定的梯度，有区分性。</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hint="eastAsia" w:ascii="Times New Roman" w:hAnsi="Times New Roman"/>
          <w:kern w:val="2"/>
          <w:sz w:val="28"/>
        </w:rPr>
        <w:t>复试时考生必须随身携带身份证以及其它能证明自己身份的相关证件，否则不能参加复试。报到时需要提交材料如下：</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hint="eastAsia" w:ascii="Times New Roman" w:hAnsi="Times New Roman"/>
          <w:kern w:val="2"/>
          <w:sz w:val="28"/>
        </w:rPr>
        <w:t>①</w:t>
      </w:r>
      <w:r>
        <w:rPr>
          <w:rFonts w:ascii="Times New Roman" w:hAnsi="Times New Roman"/>
          <w:kern w:val="2"/>
          <w:sz w:val="28"/>
        </w:rPr>
        <w:t>本科学习成绩单一份，要求加盖所在学校教务处公章（红章原件）；</w:t>
      </w:r>
    </w:p>
    <w:p>
      <w:pPr>
        <w:pStyle w:val="6"/>
        <w:shd w:val="clear" w:color="auto" w:fill="FEFEFE"/>
        <w:spacing w:before="0" w:beforeAutospacing="0" w:after="0" w:afterAutospacing="0" w:line="460" w:lineRule="exact"/>
        <w:ind w:firstLine="560" w:firstLineChars="200"/>
        <w:rPr>
          <w:rFonts w:ascii="Times New Roman" w:hAnsi="Times New Roman"/>
          <w:kern w:val="2"/>
          <w:sz w:val="28"/>
        </w:rPr>
      </w:pPr>
      <w:r>
        <w:rPr>
          <w:rFonts w:hint="eastAsia" w:ascii="Times New Roman" w:hAnsi="Times New Roman"/>
          <w:kern w:val="2"/>
          <w:sz w:val="28"/>
        </w:rPr>
        <w:t>②</w:t>
      </w:r>
      <w:r>
        <w:rPr>
          <w:rFonts w:ascii="Times New Roman" w:hAnsi="Times New Roman"/>
          <w:kern w:val="2"/>
          <w:sz w:val="28"/>
        </w:rPr>
        <w:t>有公开发表的学术论文、科研成果或获奖证书者，提供复印件一份；</w:t>
      </w:r>
    </w:p>
    <w:p>
      <w:pPr>
        <w:spacing w:beforeLines="20"/>
        <w:rPr>
          <w:b/>
          <w:bCs/>
          <w:sz w:val="28"/>
        </w:rPr>
      </w:pPr>
      <w:r>
        <w:rPr>
          <w:rFonts w:hint="eastAsia"/>
          <w:b/>
          <w:bCs/>
          <w:sz w:val="28"/>
        </w:rPr>
        <w:t>四、报到、复试时间和地点</w:t>
      </w:r>
    </w:p>
    <w:p>
      <w:pPr>
        <w:spacing w:beforeLines="20"/>
        <w:rPr>
          <w:rFonts w:cs="宋体"/>
          <w:sz w:val="28"/>
        </w:rPr>
      </w:pPr>
      <w:r>
        <w:rPr>
          <w:rFonts w:hint="eastAsia"/>
          <w:bCs/>
          <w:sz w:val="28"/>
        </w:rPr>
        <w:t>报到时间：</w:t>
      </w:r>
      <w:r>
        <w:rPr>
          <w:rFonts w:hint="eastAsia" w:cs="宋体"/>
          <w:sz w:val="28"/>
        </w:rPr>
        <w:t>201</w:t>
      </w:r>
      <w:r>
        <w:rPr>
          <w:rFonts w:hint="eastAsia" w:cs="宋体"/>
          <w:sz w:val="28"/>
          <w:lang w:val="en-US" w:eastAsia="zh-CN"/>
        </w:rPr>
        <w:t>9</w:t>
      </w:r>
      <w:r>
        <w:rPr>
          <w:rFonts w:hint="eastAsia" w:cs="宋体"/>
          <w:sz w:val="28"/>
        </w:rPr>
        <w:t>年</w:t>
      </w:r>
      <w:r>
        <w:rPr>
          <w:rFonts w:hint="eastAsia" w:cs="宋体"/>
          <w:sz w:val="28"/>
          <w:lang w:val="en-US" w:eastAsia="zh-CN"/>
        </w:rPr>
        <w:t>9</w:t>
      </w:r>
      <w:r>
        <w:rPr>
          <w:rFonts w:cs="宋体"/>
          <w:sz w:val="28"/>
        </w:rPr>
        <w:t>月</w:t>
      </w:r>
      <w:r>
        <w:rPr>
          <w:rFonts w:hint="eastAsia" w:cs="宋体"/>
          <w:sz w:val="28"/>
          <w:lang w:val="en-US" w:eastAsia="zh-CN"/>
        </w:rPr>
        <w:t>16</w:t>
      </w:r>
      <w:r>
        <w:rPr>
          <w:rFonts w:cs="宋体"/>
          <w:sz w:val="28"/>
        </w:rPr>
        <w:t>日</w:t>
      </w:r>
      <w:r>
        <w:rPr>
          <w:rFonts w:hint="eastAsia" w:cs="宋体"/>
          <w:sz w:val="28"/>
        </w:rPr>
        <w:t>上午8点30-</w:t>
      </w:r>
      <w:r>
        <w:rPr>
          <w:rFonts w:hint="eastAsia" w:cs="宋体"/>
          <w:sz w:val="28"/>
          <w:lang w:eastAsia="zh-CN"/>
        </w:rPr>
        <w:t>上</w:t>
      </w:r>
      <w:r>
        <w:rPr>
          <w:rFonts w:hint="eastAsia" w:cs="宋体"/>
          <w:sz w:val="28"/>
        </w:rPr>
        <w:t>午</w:t>
      </w:r>
      <w:r>
        <w:rPr>
          <w:rFonts w:hint="eastAsia" w:cs="宋体"/>
          <w:sz w:val="28"/>
          <w:lang w:val="en-US" w:eastAsia="zh-CN"/>
        </w:rPr>
        <w:t>10</w:t>
      </w:r>
      <w:r>
        <w:rPr>
          <w:rFonts w:hint="eastAsia" w:cs="宋体"/>
          <w:sz w:val="28"/>
        </w:rPr>
        <w:t>点，</w:t>
      </w:r>
      <w:r>
        <w:rPr>
          <w:rFonts w:hint="eastAsia"/>
          <w:bCs/>
          <w:sz w:val="28"/>
        </w:rPr>
        <w:t>报到地点：</w:t>
      </w:r>
      <w:r>
        <w:rPr>
          <w:rFonts w:hint="eastAsia" w:cs="宋体"/>
          <w:sz w:val="28"/>
        </w:rPr>
        <w:t>化工A511-2</w:t>
      </w:r>
    </w:p>
    <w:p>
      <w:pPr>
        <w:spacing w:beforeLines="20"/>
        <w:rPr>
          <w:rFonts w:hint="default" w:eastAsia="宋体" w:cs="宋体"/>
          <w:sz w:val="28"/>
          <w:lang w:val="en-US" w:eastAsia="zh-CN"/>
        </w:rPr>
      </w:pPr>
      <w:r>
        <w:rPr>
          <w:rFonts w:hint="eastAsia" w:cs="宋体"/>
          <w:sz w:val="28"/>
        </w:rPr>
        <w:t>复试时间：201</w:t>
      </w:r>
      <w:r>
        <w:rPr>
          <w:rFonts w:hint="eastAsia" w:cs="宋体"/>
          <w:sz w:val="28"/>
          <w:lang w:val="en-US" w:eastAsia="zh-CN"/>
        </w:rPr>
        <w:t>9</w:t>
      </w:r>
      <w:r>
        <w:rPr>
          <w:rFonts w:hint="eastAsia" w:cs="宋体"/>
          <w:sz w:val="28"/>
        </w:rPr>
        <w:t>年</w:t>
      </w:r>
      <w:r>
        <w:rPr>
          <w:rFonts w:hint="eastAsia" w:cs="宋体"/>
          <w:sz w:val="28"/>
          <w:lang w:val="en-US" w:eastAsia="zh-CN"/>
        </w:rPr>
        <w:t>9</w:t>
      </w:r>
      <w:r>
        <w:rPr>
          <w:rFonts w:cs="宋体"/>
          <w:sz w:val="28"/>
        </w:rPr>
        <w:t>月</w:t>
      </w:r>
      <w:r>
        <w:rPr>
          <w:rFonts w:hint="eastAsia" w:cs="宋体"/>
          <w:sz w:val="28"/>
          <w:lang w:val="en-US" w:eastAsia="zh-CN"/>
        </w:rPr>
        <w:t>16</w:t>
      </w:r>
      <w:r>
        <w:rPr>
          <w:rFonts w:cs="宋体"/>
          <w:sz w:val="28"/>
        </w:rPr>
        <w:t>日</w:t>
      </w:r>
      <w:r>
        <w:rPr>
          <w:rFonts w:hint="eastAsia" w:cs="宋体"/>
          <w:sz w:val="28"/>
          <w:lang w:eastAsia="zh-CN"/>
        </w:rPr>
        <w:t>下</w:t>
      </w:r>
      <w:r>
        <w:rPr>
          <w:rFonts w:hint="eastAsia" w:cs="宋体"/>
          <w:sz w:val="28"/>
        </w:rPr>
        <w:t>午</w:t>
      </w:r>
      <w:r>
        <w:rPr>
          <w:rFonts w:hint="eastAsia" w:cs="宋体"/>
          <w:sz w:val="28"/>
          <w:lang w:val="en-US" w:eastAsia="zh-CN"/>
        </w:rPr>
        <w:t>1</w:t>
      </w:r>
      <w:r>
        <w:rPr>
          <w:rFonts w:hint="eastAsia" w:cs="宋体"/>
          <w:sz w:val="28"/>
        </w:rPr>
        <w:t>点30，复试地点：化工A30</w:t>
      </w:r>
      <w:r>
        <w:rPr>
          <w:rFonts w:hint="eastAsia" w:cs="宋体"/>
          <w:sz w:val="28"/>
          <w:lang w:val="en-US" w:eastAsia="zh-CN"/>
        </w:rPr>
        <w:t>6</w:t>
      </w:r>
      <w:r>
        <w:rPr>
          <w:rFonts w:hint="eastAsia" w:cs="宋体"/>
          <w:sz w:val="28"/>
          <w:lang w:eastAsia="zh-CN"/>
        </w:rPr>
        <w:t>（矿加组）、化工</w:t>
      </w:r>
      <w:r>
        <w:rPr>
          <w:rFonts w:hint="eastAsia" w:cs="宋体"/>
          <w:sz w:val="28"/>
          <w:lang w:val="en-US" w:eastAsia="zh-CN"/>
        </w:rPr>
        <w:t>A307（化工组）</w:t>
      </w:r>
    </w:p>
    <w:p>
      <w:pPr>
        <w:spacing w:beforeLines="20"/>
        <w:rPr>
          <w:b/>
          <w:bCs/>
          <w:sz w:val="28"/>
        </w:rPr>
      </w:pPr>
      <w:r>
        <w:rPr>
          <w:rFonts w:hint="eastAsia"/>
          <w:b/>
          <w:bCs/>
          <w:sz w:val="28"/>
        </w:rPr>
        <w:t>五、录取办法</w:t>
      </w:r>
    </w:p>
    <w:p>
      <w:pPr>
        <w:pStyle w:val="6"/>
        <w:shd w:val="clear" w:color="auto" w:fill="FEFEFE"/>
        <w:spacing w:before="0" w:beforeAutospacing="0" w:after="0" w:afterAutospacing="0" w:line="500" w:lineRule="exact"/>
        <w:ind w:firstLine="560" w:firstLineChars="200"/>
        <w:rPr>
          <w:rFonts w:ascii="Times New Roman" w:hAnsi="Times New Roman"/>
          <w:kern w:val="2"/>
          <w:sz w:val="28"/>
        </w:rPr>
      </w:pPr>
      <w:r>
        <w:rPr>
          <w:rFonts w:hint="eastAsia" w:ascii="Times New Roman" w:hAnsi="Times New Roman"/>
          <w:kern w:val="2"/>
          <w:sz w:val="28"/>
        </w:rPr>
        <w:t>1、</w:t>
      </w:r>
      <w:r>
        <w:rPr>
          <w:rFonts w:ascii="Times New Roman" w:hAnsi="Times New Roman"/>
          <w:kern w:val="2"/>
          <w:sz w:val="28"/>
        </w:rPr>
        <w:t>复试结束后，</w:t>
      </w:r>
      <w:r>
        <w:rPr>
          <w:rFonts w:hint="eastAsia" w:ascii="Times New Roman" w:hAnsi="Times New Roman"/>
          <w:kern w:val="2"/>
          <w:sz w:val="28"/>
        </w:rPr>
        <w:t>学院研究生招生工作领导小组审核</w:t>
      </w:r>
      <w:r>
        <w:rPr>
          <w:rFonts w:ascii="Times New Roman" w:hAnsi="Times New Roman"/>
          <w:kern w:val="2"/>
          <w:sz w:val="28"/>
        </w:rPr>
        <w:t>复试成绩，</w:t>
      </w:r>
      <w:r>
        <w:rPr>
          <w:rFonts w:hint="eastAsia" w:ascii="Times New Roman" w:hAnsi="Times New Roman"/>
          <w:kern w:val="2"/>
          <w:sz w:val="28"/>
        </w:rPr>
        <w:t>根据各专业（本科专业）学生的总成绩（学分加权平均分*0.6+复试分*0.4）排序，如果总成绩出现并列者，根据学分加权平均分高低进行排序，如排序仍然相同则以外语六级、四级分数进行排序。根据各专业的录取指标按总分排序</w:t>
      </w:r>
      <w:r>
        <w:rPr>
          <w:rFonts w:hint="eastAsia" w:ascii="Times New Roman" w:hAnsi="Times New Roman"/>
          <w:color w:val="000000"/>
          <w:sz w:val="28"/>
          <w:szCs w:val="28"/>
        </w:rPr>
        <w:t>确定录取建议名单。</w:t>
      </w:r>
      <w:r>
        <w:rPr>
          <w:rFonts w:hint="eastAsia" w:ascii="Times New Roman" w:hAnsi="Times New Roman"/>
          <w:kern w:val="2"/>
          <w:sz w:val="28"/>
        </w:rPr>
        <w:t>复试总成绩不合格（成绩低于60分）的考生不予录取。无故不参加复试的考生不予录取。</w:t>
      </w:r>
    </w:p>
    <w:p>
      <w:pPr>
        <w:pStyle w:val="6"/>
        <w:shd w:val="clear" w:color="auto" w:fill="FEFEFE"/>
        <w:spacing w:before="0" w:beforeAutospacing="0" w:after="0" w:afterAutospacing="0" w:line="500" w:lineRule="exact"/>
        <w:ind w:firstLine="560" w:firstLineChars="200"/>
        <w:rPr>
          <w:rFonts w:ascii="Times New Roman" w:hAnsi="Times New Roman"/>
          <w:kern w:val="2"/>
          <w:sz w:val="28"/>
        </w:rPr>
      </w:pPr>
      <w:r>
        <w:rPr>
          <w:rFonts w:hint="eastAsia" w:ascii="Times New Roman" w:hAnsi="Times New Roman"/>
          <w:kern w:val="2"/>
          <w:sz w:val="28"/>
        </w:rPr>
        <w:t>2、凡录取的本硕博学生部分享受学业奖学金，硕士学业奖学金等级分为一等、二等和无，奖学金的等级由学院研究生招生工作领导小组根据学生总成绩的排序和学校下达的指标数及相关规定确定。凡录取的直博生第一年享受博士二等学业奖学金。</w:t>
      </w:r>
    </w:p>
    <w:p>
      <w:pPr>
        <w:pStyle w:val="6"/>
        <w:shd w:val="clear" w:color="auto" w:fill="FEFEFE"/>
        <w:spacing w:before="0" w:beforeAutospacing="0" w:after="0" w:afterAutospacing="0" w:line="500" w:lineRule="exact"/>
        <w:ind w:firstLine="560" w:firstLineChars="200"/>
        <w:rPr>
          <w:rFonts w:ascii="Times New Roman" w:hAnsi="Times New Roman"/>
          <w:kern w:val="2"/>
          <w:sz w:val="28"/>
        </w:rPr>
      </w:pPr>
      <w:r>
        <w:rPr>
          <w:rFonts w:hint="eastAsia" w:ascii="Times New Roman" w:hAnsi="Times New Roman"/>
          <w:kern w:val="2"/>
          <w:sz w:val="28"/>
        </w:rPr>
        <w:t>3、</w:t>
      </w:r>
      <w:r>
        <w:rPr>
          <w:rFonts w:ascii="Times New Roman" w:hAnsi="Times New Roman"/>
          <w:kern w:val="2"/>
          <w:sz w:val="28"/>
        </w:rPr>
        <w:t>被确定为本科直博的学生大四学年仍按本科生进行管理，给予奖学金1.2万。被确定为本硕博连读的学生大四学年仍按本科生进行管理，给予奖学金0.6万。</w:t>
      </w:r>
    </w:p>
    <w:p>
      <w:pPr>
        <w:spacing w:line="460" w:lineRule="exact"/>
        <w:ind w:firstLine="560" w:firstLineChars="200"/>
        <w:rPr>
          <w:rFonts w:cs="宋体"/>
          <w:sz w:val="28"/>
        </w:rPr>
      </w:pPr>
      <w:r>
        <w:rPr>
          <w:rFonts w:hint="eastAsia" w:cs="宋体"/>
          <w:sz w:val="28"/>
        </w:rPr>
        <w:t>4、</w:t>
      </w:r>
      <w:r>
        <w:rPr>
          <w:rFonts w:ascii="Times New Roman" w:hAnsi="Times New Roman" w:eastAsia="宋体" w:cs="宋体"/>
          <w:kern w:val="2"/>
          <w:sz w:val="28"/>
          <w:szCs w:val="24"/>
          <w:lang w:val="en-US" w:eastAsia="zh-CN" w:bidi="ar-SA"/>
        </w:rPr>
        <w:t>被确定为“海外联培计划”的学生将赴国外著名高校进行访学和课程学习，学校将资助国际往返机票、国外期间学费和国外期间生活费。</w:t>
      </w:r>
    </w:p>
    <w:p>
      <w:pPr>
        <w:spacing w:line="460" w:lineRule="exact"/>
        <w:rPr>
          <w:rFonts w:hint="eastAsia"/>
          <w:b/>
          <w:bCs/>
          <w:sz w:val="28"/>
        </w:rPr>
      </w:pPr>
    </w:p>
    <w:p>
      <w:pPr>
        <w:spacing w:line="460" w:lineRule="exact"/>
        <w:rPr>
          <w:b/>
          <w:bCs/>
          <w:sz w:val="28"/>
        </w:rPr>
      </w:pPr>
      <w:r>
        <w:rPr>
          <w:rFonts w:hint="eastAsia"/>
          <w:b/>
          <w:bCs/>
          <w:sz w:val="28"/>
        </w:rPr>
        <w:t>六</w:t>
      </w:r>
      <w:r>
        <w:rPr>
          <w:b/>
          <w:bCs/>
          <w:sz w:val="28"/>
        </w:rPr>
        <w:t>、本方案由</w:t>
      </w:r>
      <w:r>
        <w:rPr>
          <w:rFonts w:hint="eastAsia"/>
          <w:b/>
          <w:bCs/>
          <w:sz w:val="28"/>
        </w:rPr>
        <w:t>我院研究生招生</w:t>
      </w:r>
      <w:r>
        <w:rPr>
          <w:b/>
          <w:bCs/>
          <w:sz w:val="28"/>
        </w:rPr>
        <w:t>工作</w:t>
      </w:r>
      <w:r>
        <w:rPr>
          <w:rFonts w:hint="eastAsia"/>
          <w:b/>
          <w:bCs/>
          <w:sz w:val="28"/>
        </w:rPr>
        <w:t>领导</w:t>
      </w:r>
      <w:r>
        <w:rPr>
          <w:b/>
          <w:bCs/>
          <w:sz w:val="28"/>
        </w:rPr>
        <w:t>小组负责解释。</w:t>
      </w:r>
    </w:p>
    <w:p>
      <w:pPr>
        <w:spacing w:beforeLines="30" w:afterLines="30"/>
        <w:rPr>
          <w:b/>
          <w:bCs/>
          <w:sz w:val="28"/>
        </w:rPr>
      </w:pPr>
    </w:p>
    <w:p>
      <w:pPr>
        <w:spacing w:line="400" w:lineRule="exact"/>
        <w:ind w:left="4948" w:leftChars="2356"/>
        <w:rPr>
          <w:sz w:val="28"/>
        </w:rPr>
      </w:pPr>
      <w:r>
        <w:rPr>
          <w:rFonts w:hint="eastAsia"/>
          <w:sz w:val="28"/>
        </w:rPr>
        <w:t>化工学院研究生招生领导小组</w:t>
      </w:r>
    </w:p>
    <w:p>
      <w:pPr>
        <w:spacing w:beforeLines="100" w:line="400" w:lineRule="exact"/>
        <w:ind w:left="4948" w:leftChars="2356" w:firstLine="700" w:firstLineChars="250"/>
        <w:rPr>
          <w:sz w:val="28"/>
        </w:rPr>
      </w:pPr>
      <w:r>
        <w:rPr>
          <w:rFonts w:hint="eastAsia"/>
          <w:sz w:val="28"/>
        </w:rPr>
        <w:t>201</w:t>
      </w:r>
      <w:r>
        <w:rPr>
          <w:rFonts w:hint="eastAsia"/>
          <w:sz w:val="28"/>
          <w:lang w:val="en-US" w:eastAsia="zh-CN"/>
        </w:rPr>
        <w:t>9</w:t>
      </w:r>
      <w:r>
        <w:rPr>
          <w:rFonts w:hint="eastAsia"/>
          <w:sz w:val="28"/>
        </w:rPr>
        <w:t>年</w:t>
      </w:r>
      <w:r>
        <w:rPr>
          <w:rFonts w:hint="eastAsia"/>
          <w:sz w:val="28"/>
          <w:lang w:val="en-US" w:eastAsia="zh-CN"/>
        </w:rPr>
        <w:t>9</w:t>
      </w:r>
      <w:r>
        <w:rPr>
          <w:rFonts w:hint="eastAsia"/>
          <w:sz w:val="28"/>
        </w:rPr>
        <w:t>月</w:t>
      </w:r>
      <w:r>
        <w:rPr>
          <w:rFonts w:hint="eastAsia"/>
          <w:sz w:val="28"/>
          <w:lang w:val="en-US" w:eastAsia="zh-CN"/>
        </w:rPr>
        <w:t>1</w:t>
      </w:r>
      <w:r>
        <w:rPr>
          <w:rFonts w:hint="eastAsia"/>
          <w:sz w:val="28"/>
        </w:rPr>
        <w:t>2日</w:t>
      </w:r>
    </w:p>
    <w:sectPr>
      <w:headerReference r:id="rId3" w:type="default"/>
      <w:pgSz w:w="11906" w:h="16838"/>
      <w:pgMar w:top="851" w:right="1418" w:bottom="85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5D4"/>
    <w:rsid w:val="00002F54"/>
    <w:rsid w:val="00003023"/>
    <w:rsid w:val="000035DE"/>
    <w:rsid w:val="00007B70"/>
    <w:rsid w:val="00031266"/>
    <w:rsid w:val="00031F38"/>
    <w:rsid w:val="000373EA"/>
    <w:rsid w:val="00040373"/>
    <w:rsid w:val="000415EC"/>
    <w:rsid w:val="0004634A"/>
    <w:rsid w:val="00047261"/>
    <w:rsid w:val="00060004"/>
    <w:rsid w:val="00062050"/>
    <w:rsid w:val="000637CB"/>
    <w:rsid w:val="0008651C"/>
    <w:rsid w:val="00090B0F"/>
    <w:rsid w:val="00092D24"/>
    <w:rsid w:val="000B2F38"/>
    <w:rsid w:val="000B594F"/>
    <w:rsid w:val="000D2084"/>
    <w:rsid w:val="000D5A35"/>
    <w:rsid w:val="000D7D02"/>
    <w:rsid w:val="00106010"/>
    <w:rsid w:val="00112F92"/>
    <w:rsid w:val="00122E5D"/>
    <w:rsid w:val="001431DD"/>
    <w:rsid w:val="0014750D"/>
    <w:rsid w:val="001513E7"/>
    <w:rsid w:val="00152D41"/>
    <w:rsid w:val="001539D5"/>
    <w:rsid w:val="00164389"/>
    <w:rsid w:val="00164A57"/>
    <w:rsid w:val="00175838"/>
    <w:rsid w:val="00180CA1"/>
    <w:rsid w:val="00182AF4"/>
    <w:rsid w:val="00182F8B"/>
    <w:rsid w:val="0018529D"/>
    <w:rsid w:val="001903B4"/>
    <w:rsid w:val="00191A3B"/>
    <w:rsid w:val="001970B5"/>
    <w:rsid w:val="00197780"/>
    <w:rsid w:val="001A307A"/>
    <w:rsid w:val="001A6220"/>
    <w:rsid w:val="001B13C2"/>
    <w:rsid w:val="001B3601"/>
    <w:rsid w:val="001C3C77"/>
    <w:rsid w:val="001C3D86"/>
    <w:rsid w:val="001C4579"/>
    <w:rsid w:val="001C4B2F"/>
    <w:rsid w:val="001C56B9"/>
    <w:rsid w:val="001D56A7"/>
    <w:rsid w:val="001E0022"/>
    <w:rsid w:val="001E3C59"/>
    <w:rsid w:val="001E5D40"/>
    <w:rsid w:val="001F0E48"/>
    <w:rsid w:val="001F596F"/>
    <w:rsid w:val="00213BCC"/>
    <w:rsid w:val="00217394"/>
    <w:rsid w:val="00222242"/>
    <w:rsid w:val="002256DE"/>
    <w:rsid w:val="00230F42"/>
    <w:rsid w:val="00235F3C"/>
    <w:rsid w:val="00243642"/>
    <w:rsid w:val="00257530"/>
    <w:rsid w:val="0025790C"/>
    <w:rsid w:val="002665CA"/>
    <w:rsid w:val="00277D77"/>
    <w:rsid w:val="00281D17"/>
    <w:rsid w:val="002834A2"/>
    <w:rsid w:val="00283537"/>
    <w:rsid w:val="00285B85"/>
    <w:rsid w:val="00291227"/>
    <w:rsid w:val="00295C0A"/>
    <w:rsid w:val="002B2CD6"/>
    <w:rsid w:val="002B746B"/>
    <w:rsid w:val="002C39C3"/>
    <w:rsid w:val="002D2732"/>
    <w:rsid w:val="002D67FD"/>
    <w:rsid w:val="002F0F99"/>
    <w:rsid w:val="002F5ECD"/>
    <w:rsid w:val="002F673F"/>
    <w:rsid w:val="00302ED7"/>
    <w:rsid w:val="00304D87"/>
    <w:rsid w:val="00306EFC"/>
    <w:rsid w:val="00313C67"/>
    <w:rsid w:val="00315C80"/>
    <w:rsid w:val="00320D85"/>
    <w:rsid w:val="0032469C"/>
    <w:rsid w:val="0032589D"/>
    <w:rsid w:val="0032606C"/>
    <w:rsid w:val="00332DB9"/>
    <w:rsid w:val="0034535F"/>
    <w:rsid w:val="003474B5"/>
    <w:rsid w:val="003540F3"/>
    <w:rsid w:val="00367E90"/>
    <w:rsid w:val="00380F7B"/>
    <w:rsid w:val="00384203"/>
    <w:rsid w:val="003843E5"/>
    <w:rsid w:val="003A0473"/>
    <w:rsid w:val="003D79A1"/>
    <w:rsid w:val="003D7FA2"/>
    <w:rsid w:val="003E1641"/>
    <w:rsid w:val="004014D2"/>
    <w:rsid w:val="004077EF"/>
    <w:rsid w:val="00412A59"/>
    <w:rsid w:val="0041695A"/>
    <w:rsid w:val="00420350"/>
    <w:rsid w:val="00420727"/>
    <w:rsid w:val="00420D0F"/>
    <w:rsid w:val="0042518A"/>
    <w:rsid w:val="004258B4"/>
    <w:rsid w:val="0045058B"/>
    <w:rsid w:val="004573C4"/>
    <w:rsid w:val="0046243F"/>
    <w:rsid w:val="00467549"/>
    <w:rsid w:val="00470A9D"/>
    <w:rsid w:val="00474B93"/>
    <w:rsid w:val="004C0BA5"/>
    <w:rsid w:val="004C1855"/>
    <w:rsid w:val="004C259D"/>
    <w:rsid w:val="004C5D71"/>
    <w:rsid w:val="004C6E27"/>
    <w:rsid w:val="004D35AD"/>
    <w:rsid w:val="004E0EA6"/>
    <w:rsid w:val="004F1F9B"/>
    <w:rsid w:val="004F31FB"/>
    <w:rsid w:val="00520101"/>
    <w:rsid w:val="00523DF5"/>
    <w:rsid w:val="005253F3"/>
    <w:rsid w:val="00526D08"/>
    <w:rsid w:val="00531975"/>
    <w:rsid w:val="005325D1"/>
    <w:rsid w:val="00532839"/>
    <w:rsid w:val="00535667"/>
    <w:rsid w:val="005413AB"/>
    <w:rsid w:val="00547062"/>
    <w:rsid w:val="00555B17"/>
    <w:rsid w:val="00564A83"/>
    <w:rsid w:val="005733F7"/>
    <w:rsid w:val="00582DFC"/>
    <w:rsid w:val="00587050"/>
    <w:rsid w:val="0059166B"/>
    <w:rsid w:val="00594258"/>
    <w:rsid w:val="005A1086"/>
    <w:rsid w:val="005C2486"/>
    <w:rsid w:val="005C577B"/>
    <w:rsid w:val="005D2485"/>
    <w:rsid w:val="005D3AF0"/>
    <w:rsid w:val="005E0329"/>
    <w:rsid w:val="005E1F0E"/>
    <w:rsid w:val="005E63C8"/>
    <w:rsid w:val="005F1200"/>
    <w:rsid w:val="005F4B57"/>
    <w:rsid w:val="00610FDC"/>
    <w:rsid w:val="00616819"/>
    <w:rsid w:val="006173E5"/>
    <w:rsid w:val="006220C9"/>
    <w:rsid w:val="0063205D"/>
    <w:rsid w:val="00635A6F"/>
    <w:rsid w:val="0063679A"/>
    <w:rsid w:val="00644FF2"/>
    <w:rsid w:val="00645608"/>
    <w:rsid w:val="0065273C"/>
    <w:rsid w:val="0065576D"/>
    <w:rsid w:val="00670302"/>
    <w:rsid w:val="00682443"/>
    <w:rsid w:val="00687A32"/>
    <w:rsid w:val="006919FF"/>
    <w:rsid w:val="006A3741"/>
    <w:rsid w:val="006B362E"/>
    <w:rsid w:val="006C5921"/>
    <w:rsid w:val="006E0CB4"/>
    <w:rsid w:val="006E43C9"/>
    <w:rsid w:val="006E4B2D"/>
    <w:rsid w:val="006E6E35"/>
    <w:rsid w:val="006E7C46"/>
    <w:rsid w:val="006F3849"/>
    <w:rsid w:val="00701F72"/>
    <w:rsid w:val="00703198"/>
    <w:rsid w:val="007147B7"/>
    <w:rsid w:val="0072189F"/>
    <w:rsid w:val="0073655E"/>
    <w:rsid w:val="0073770A"/>
    <w:rsid w:val="00740416"/>
    <w:rsid w:val="00757AA2"/>
    <w:rsid w:val="00761A28"/>
    <w:rsid w:val="00762BB3"/>
    <w:rsid w:val="007631B9"/>
    <w:rsid w:val="00780E29"/>
    <w:rsid w:val="007850C9"/>
    <w:rsid w:val="00796F7F"/>
    <w:rsid w:val="007979F5"/>
    <w:rsid w:val="007A3CC9"/>
    <w:rsid w:val="007A3FE8"/>
    <w:rsid w:val="007C4D59"/>
    <w:rsid w:val="007C55C2"/>
    <w:rsid w:val="007C55D4"/>
    <w:rsid w:val="007C74E6"/>
    <w:rsid w:val="007E00CD"/>
    <w:rsid w:val="007F2C5A"/>
    <w:rsid w:val="00804C3F"/>
    <w:rsid w:val="00824A2B"/>
    <w:rsid w:val="00830671"/>
    <w:rsid w:val="00830A31"/>
    <w:rsid w:val="0083231B"/>
    <w:rsid w:val="00844FCF"/>
    <w:rsid w:val="00863DD3"/>
    <w:rsid w:val="00864003"/>
    <w:rsid w:val="00873C3B"/>
    <w:rsid w:val="008803C7"/>
    <w:rsid w:val="00886261"/>
    <w:rsid w:val="008902C6"/>
    <w:rsid w:val="00893604"/>
    <w:rsid w:val="00894216"/>
    <w:rsid w:val="008B37E8"/>
    <w:rsid w:val="008D0D30"/>
    <w:rsid w:val="008E426D"/>
    <w:rsid w:val="008E5003"/>
    <w:rsid w:val="008E7C09"/>
    <w:rsid w:val="009027CE"/>
    <w:rsid w:val="009039FD"/>
    <w:rsid w:val="0092196F"/>
    <w:rsid w:val="0092532F"/>
    <w:rsid w:val="00930D6F"/>
    <w:rsid w:val="00932A4C"/>
    <w:rsid w:val="0094119C"/>
    <w:rsid w:val="0095602A"/>
    <w:rsid w:val="0095746F"/>
    <w:rsid w:val="0096406F"/>
    <w:rsid w:val="0096576A"/>
    <w:rsid w:val="00975058"/>
    <w:rsid w:val="00980125"/>
    <w:rsid w:val="00992F91"/>
    <w:rsid w:val="00993D88"/>
    <w:rsid w:val="009B6F84"/>
    <w:rsid w:val="009C7E1A"/>
    <w:rsid w:val="009D52AD"/>
    <w:rsid w:val="009E2197"/>
    <w:rsid w:val="009E2B0D"/>
    <w:rsid w:val="00A07869"/>
    <w:rsid w:val="00A1065F"/>
    <w:rsid w:val="00A1171F"/>
    <w:rsid w:val="00A14638"/>
    <w:rsid w:val="00A1771C"/>
    <w:rsid w:val="00A20D54"/>
    <w:rsid w:val="00A227E5"/>
    <w:rsid w:val="00A30B48"/>
    <w:rsid w:val="00A31EA7"/>
    <w:rsid w:val="00A32B56"/>
    <w:rsid w:val="00A32D3B"/>
    <w:rsid w:val="00A41E67"/>
    <w:rsid w:val="00A46ABD"/>
    <w:rsid w:val="00A46B73"/>
    <w:rsid w:val="00A551D3"/>
    <w:rsid w:val="00A6025F"/>
    <w:rsid w:val="00A62B28"/>
    <w:rsid w:val="00A653EA"/>
    <w:rsid w:val="00A701F8"/>
    <w:rsid w:val="00A739F8"/>
    <w:rsid w:val="00A82FA5"/>
    <w:rsid w:val="00A90E96"/>
    <w:rsid w:val="00A91B85"/>
    <w:rsid w:val="00A93321"/>
    <w:rsid w:val="00A946D5"/>
    <w:rsid w:val="00A95203"/>
    <w:rsid w:val="00AD02ED"/>
    <w:rsid w:val="00AD26C7"/>
    <w:rsid w:val="00AD7F44"/>
    <w:rsid w:val="00AE0B4D"/>
    <w:rsid w:val="00AE1FEA"/>
    <w:rsid w:val="00AF6909"/>
    <w:rsid w:val="00B11679"/>
    <w:rsid w:val="00B146E5"/>
    <w:rsid w:val="00B1570E"/>
    <w:rsid w:val="00B16A45"/>
    <w:rsid w:val="00B45EA3"/>
    <w:rsid w:val="00B50870"/>
    <w:rsid w:val="00B628A6"/>
    <w:rsid w:val="00B81E03"/>
    <w:rsid w:val="00B8346A"/>
    <w:rsid w:val="00BA0AC5"/>
    <w:rsid w:val="00BA1265"/>
    <w:rsid w:val="00BA203F"/>
    <w:rsid w:val="00BA74CE"/>
    <w:rsid w:val="00BB669B"/>
    <w:rsid w:val="00BD6D02"/>
    <w:rsid w:val="00BE47BF"/>
    <w:rsid w:val="00C03CE4"/>
    <w:rsid w:val="00C041A7"/>
    <w:rsid w:val="00C059BF"/>
    <w:rsid w:val="00C12BE0"/>
    <w:rsid w:val="00C244C4"/>
    <w:rsid w:val="00C24C6D"/>
    <w:rsid w:val="00C252D5"/>
    <w:rsid w:val="00C27F72"/>
    <w:rsid w:val="00C425D0"/>
    <w:rsid w:val="00C540C6"/>
    <w:rsid w:val="00C561CD"/>
    <w:rsid w:val="00C62AD5"/>
    <w:rsid w:val="00C657B4"/>
    <w:rsid w:val="00C70E76"/>
    <w:rsid w:val="00C73568"/>
    <w:rsid w:val="00C8081F"/>
    <w:rsid w:val="00C84383"/>
    <w:rsid w:val="00C97BB0"/>
    <w:rsid w:val="00CA7AA1"/>
    <w:rsid w:val="00CB4D57"/>
    <w:rsid w:val="00CB5FDF"/>
    <w:rsid w:val="00CB60EF"/>
    <w:rsid w:val="00CC5C9E"/>
    <w:rsid w:val="00CC6D15"/>
    <w:rsid w:val="00CE4C94"/>
    <w:rsid w:val="00D06949"/>
    <w:rsid w:val="00D162E4"/>
    <w:rsid w:val="00D30DB5"/>
    <w:rsid w:val="00D3496B"/>
    <w:rsid w:val="00D35172"/>
    <w:rsid w:val="00D446CE"/>
    <w:rsid w:val="00D65999"/>
    <w:rsid w:val="00D666DE"/>
    <w:rsid w:val="00D6769B"/>
    <w:rsid w:val="00D70B1D"/>
    <w:rsid w:val="00D7138D"/>
    <w:rsid w:val="00D90B9A"/>
    <w:rsid w:val="00D93BA8"/>
    <w:rsid w:val="00D93BC5"/>
    <w:rsid w:val="00D9519E"/>
    <w:rsid w:val="00DA1672"/>
    <w:rsid w:val="00DA3316"/>
    <w:rsid w:val="00DA47B1"/>
    <w:rsid w:val="00DB407D"/>
    <w:rsid w:val="00DB4367"/>
    <w:rsid w:val="00DB530E"/>
    <w:rsid w:val="00DB5782"/>
    <w:rsid w:val="00DC2616"/>
    <w:rsid w:val="00DC7330"/>
    <w:rsid w:val="00DD174A"/>
    <w:rsid w:val="00DD197A"/>
    <w:rsid w:val="00DD43FE"/>
    <w:rsid w:val="00DE03FD"/>
    <w:rsid w:val="00DE14E5"/>
    <w:rsid w:val="00DE2432"/>
    <w:rsid w:val="00DF3E79"/>
    <w:rsid w:val="00DF58E1"/>
    <w:rsid w:val="00E06240"/>
    <w:rsid w:val="00E10E63"/>
    <w:rsid w:val="00E12B1C"/>
    <w:rsid w:val="00E14AF2"/>
    <w:rsid w:val="00E201C9"/>
    <w:rsid w:val="00E24C72"/>
    <w:rsid w:val="00E369FB"/>
    <w:rsid w:val="00E371EF"/>
    <w:rsid w:val="00E40897"/>
    <w:rsid w:val="00E50B44"/>
    <w:rsid w:val="00E51D2D"/>
    <w:rsid w:val="00E55D96"/>
    <w:rsid w:val="00E56A01"/>
    <w:rsid w:val="00E62495"/>
    <w:rsid w:val="00E70434"/>
    <w:rsid w:val="00E77617"/>
    <w:rsid w:val="00E85F71"/>
    <w:rsid w:val="00E9475B"/>
    <w:rsid w:val="00E972AE"/>
    <w:rsid w:val="00EA0705"/>
    <w:rsid w:val="00EA69F0"/>
    <w:rsid w:val="00EA773F"/>
    <w:rsid w:val="00EE191C"/>
    <w:rsid w:val="00EE29F7"/>
    <w:rsid w:val="00EE3BB1"/>
    <w:rsid w:val="00EF134E"/>
    <w:rsid w:val="00EF1A8D"/>
    <w:rsid w:val="00EF6A89"/>
    <w:rsid w:val="00F25FCB"/>
    <w:rsid w:val="00F27EF4"/>
    <w:rsid w:val="00F433B7"/>
    <w:rsid w:val="00F46418"/>
    <w:rsid w:val="00F46FE9"/>
    <w:rsid w:val="00F57D91"/>
    <w:rsid w:val="00F6189C"/>
    <w:rsid w:val="00F62CF6"/>
    <w:rsid w:val="00F733F9"/>
    <w:rsid w:val="00F95D86"/>
    <w:rsid w:val="00FB5972"/>
    <w:rsid w:val="00FB7163"/>
    <w:rsid w:val="00FE3AA1"/>
    <w:rsid w:val="00FF64BB"/>
    <w:rsid w:val="0F591610"/>
    <w:rsid w:val="23706362"/>
    <w:rsid w:val="275D35E2"/>
    <w:rsid w:val="40307924"/>
    <w:rsid w:val="4D540C19"/>
    <w:rsid w:val="601D4F39"/>
    <w:rsid w:val="674A16C0"/>
    <w:rsid w:val="6C674F7D"/>
    <w:rsid w:val="6F047C6F"/>
    <w:rsid w:val="6FB23A51"/>
    <w:rsid w:val="76C03669"/>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bCs/>
    </w:rPr>
  </w:style>
  <w:style w:type="character" w:styleId="10">
    <w:name w:val="Hyperlink"/>
    <w:basedOn w:val="8"/>
    <w:qFormat/>
    <w:uiPriority w:val="0"/>
    <w:rPr>
      <w:color w:val="000000"/>
      <w:u w:val="none"/>
    </w:rPr>
  </w:style>
  <w:style w:type="character" w:customStyle="1" w:styleId="11">
    <w:name w:val="style31"/>
    <w:basedOn w:val="8"/>
    <w:qFormat/>
    <w:uiPriority w:val="0"/>
    <w:rPr>
      <w:color w:val="FF0000"/>
    </w:rPr>
  </w:style>
  <w:style w:type="character" w:customStyle="1" w:styleId="12">
    <w:name w:val="Char Char1"/>
    <w:basedOn w:val="8"/>
    <w:qFormat/>
    <w:uiPriority w:val="0"/>
    <w:rPr>
      <w:kern w:val="2"/>
      <w:sz w:val="18"/>
      <w:szCs w:val="18"/>
    </w:rPr>
  </w:style>
  <w:style w:type="character" w:customStyle="1" w:styleId="13">
    <w:name w:val="Char Char"/>
    <w:basedOn w:val="8"/>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AB536E-5848-41FD-95BC-9343265002A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255</Words>
  <Characters>1458</Characters>
  <Lines>12</Lines>
  <Paragraphs>3</Paragraphs>
  <TotalTime>1</TotalTime>
  <ScaleCrop>false</ScaleCrop>
  <LinksUpToDate>false</LinksUpToDate>
  <CharactersWithSpaces>1710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2013-09-27T07:14:00Z</dcterms:created>
  <dc:creator>Billgates</dc:creator>
  <cp:lastModifiedBy>Administrator</cp:lastModifiedBy>
  <cp:lastPrinted>2013-10-11T07:16:00Z</cp:lastPrinted>
  <dcterms:modified xsi:type="dcterms:W3CDTF">2019-09-12T03:22:04Z</dcterms:modified>
  <dc:title>化工学院2004年硕士研究生复试录取方案</dc:title>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